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B359A">
      <w:pPr>
        <w:rPr>
          <w:rFonts w:ascii="Arial" w:hAnsi="Arial" w:cs="Arial"/>
          <w:b/>
          <w:sz w:val="28"/>
          <w:szCs w:val="28"/>
        </w:rPr>
      </w:pPr>
      <w:r>
        <w:rPr>
          <w:rFonts w:ascii="Arial" w:hAnsi="Arial" w:cs="Arial"/>
          <w:b/>
          <w:sz w:val="28"/>
          <w:szCs w:val="28"/>
        </w:rPr>
        <w:t>Standing order</w:t>
      </w:r>
      <w:r w:rsidR="00D1652E">
        <w:rPr>
          <w:rFonts w:ascii="Arial" w:hAnsi="Arial" w:cs="Arial"/>
          <w:b/>
          <w:sz w:val="28"/>
          <w:szCs w:val="28"/>
        </w:rPr>
        <w:t>s</w:t>
      </w:r>
      <w:r>
        <w:rPr>
          <w:rFonts w:ascii="Arial" w:hAnsi="Arial" w:cs="Arial"/>
          <w:b/>
          <w:sz w:val="28"/>
          <w:szCs w:val="28"/>
        </w:rPr>
        <w:t xml:space="preserve"> - </w:t>
      </w:r>
      <w:r w:rsidR="00B6788C">
        <w:rPr>
          <w:rFonts w:ascii="Arial" w:hAnsi="Arial" w:cs="Arial"/>
          <w:b/>
          <w:sz w:val="28"/>
          <w:szCs w:val="28"/>
        </w:rPr>
        <w:t xml:space="preserve">potential amendments </w:t>
      </w:r>
    </w:p>
    <w:p w:rsidR="005C7C36" w:rsidRPr="00D1652E">
      <w:pPr>
        <w:rPr>
          <w:rFonts w:ascii="Arial" w:hAnsi="Arial" w:cs="Arial"/>
          <w:sz w:val="24"/>
          <w:szCs w:val="24"/>
        </w:rPr>
      </w:pPr>
      <w:r w:rsidRPr="00D1652E">
        <w:rPr>
          <w:rFonts w:ascii="Arial" w:hAnsi="Arial" w:cs="Arial"/>
          <w:sz w:val="24"/>
          <w:szCs w:val="24"/>
        </w:rPr>
        <w:t xml:space="preserve">The following amendments are proposed to the Standing Orders. </w:t>
      </w:r>
      <w:r>
        <w:rPr>
          <w:rFonts w:ascii="Arial" w:hAnsi="Arial" w:cs="Arial"/>
          <w:sz w:val="24"/>
          <w:szCs w:val="24"/>
        </w:rPr>
        <w:t xml:space="preserve">These changes are intended for clarity, and do not substantively affect the meaning or intention of existing procedures. Changes to wording are highlighted in </w:t>
      </w:r>
      <w:r w:rsidRPr="00D1652E">
        <w:rPr>
          <w:rFonts w:ascii="Arial" w:hAnsi="Arial" w:cs="Arial"/>
          <w:b/>
          <w:sz w:val="24"/>
          <w:szCs w:val="24"/>
        </w:rPr>
        <w:t>bold</w:t>
      </w:r>
      <w:r>
        <w:rPr>
          <w:rFonts w:ascii="Arial" w:hAnsi="Arial" w:cs="Arial"/>
          <w:sz w:val="24"/>
          <w:szCs w:val="24"/>
        </w:rPr>
        <w:t>.</w:t>
      </w:r>
    </w:p>
    <w:tbl>
      <w:tblPr>
        <w:tblStyle w:val="TableGrid"/>
        <w:tblW w:w="0" w:type="auto"/>
        <w:tblLook w:val="04A0"/>
      </w:tblPr>
      <w:tblGrid>
        <w:gridCol w:w="1134"/>
        <w:gridCol w:w="12611"/>
      </w:tblGrid>
      <w:tr w:rsidTr="00D1652E">
        <w:tblPrEx>
          <w:tblW w:w="0" w:type="auto"/>
          <w:tblLook w:val="04A0"/>
        </w:tblPrEx>
        <w:tc>
          <w:tcPr>
            <w:tcW w:w="1134" w:type="dxa"/>
          </w:tcPr>
          <w:p w:rsidR="00A327C3" w:rsidRPr="005C7C36">
            <w:pPr>
              <w:rPr>
                <w:rFonts w:ascii="Arial" w:hAnsi="Arial" w:cs="Arial"/>
                <w:b/>
                <w:sz w:val="24"/>
                <w:szCs w:val="24"/>
              </w:rPr>
            </w:pPr>
            <w:r w:rsidRPr="005C7C36">
              <w:rPr>
                <w:rFonts w:ascii="Arial" w:hAnsi="Arial" w:cs="Arial"/>
                <w:b/>
                <w:sz w:val="24"/>
                <w:szCs w:val="24"/>
              </w:rPr>
              <w:t>Item number</w:t>
            </w:r>
          </w:p>
        </w:tc>
        <w:tc>
          <w:tcPr>
            <w:tcW w:w="12611" w:type="dxa"/>
          </w:tcPr>
          <w:p w:rsidR="00A327C3" w:rsidRPr="005C7C36" w:rsidP="00A8694C">
            <w:pPr>
              <w:rPr>
                <w:rFonts w:ascii="Arial" w:hAnsi="Arial" w:cs="Arial"/>
                <w:b/>
                <w:sz w:val="24"/>
                <w:szCs w:val="24"/>
              </w:rPr>
            </w:pPr>
            <w:r>
              <w:rPr>
                <w:rFonts w:ascii="Arial" w:hAnsi="Arial" w:cs="Arial"/>
                <w:b/>
                <w:sz w:val="24"/>
                <w:szCs w:val="24"/>
              </w:rPr>
              <w:t>Suggested a</w:t>
            </w:r>
            <w:r w:rsidRPr="005C7C36">
              <w:rPr>
                <w:rFonts w:ascii="Arial" w:hAnsi="Arial" w:cs="Arial"/>
                <w:b/>
                <w:sz w:val="24"/>
                <w:szCs w:val="24"/>
              </w:rPr>
              <w:t>mendment</w:t>
            </w:r>
            <w:r>
              <w:rPr>
                <w:rFonts w:ascii="Arial" w:hAnsi="Arial" w:cs="Arial"/>
                <w:b/>
                <w:sz w:val="24"/>
                <w:szCs w:val="24"/>
              </w:rPr>
              <w:t>s</w:t>
            </w:r>
          </w:p>
        </w:tc>
      </w:tr>
      <w:tr w:rsidTr="00D1652E">
        <w:tblPrEx>
          <w:tblW w:w="0" w:type="auto"/>
          <w:tblLook w:val="04A0"/>
        </w:tblPrEx>
        <w:tc>
          <w:tcPr>
            <w:tcW w:w="1134" w:type="dxa"/>
          </w:tcPr>
          <w:p w:rsidR="00A327C3" w:rsidRPr="005C7C36">
            <w:pPr>
              <w:rPr>
                <w:rFonts w:ascii="Arial" w:hAnsi="Arial" w:cs="Arial"/>
                <w:sz w:val="24"/>
                <w:szCs w:val="24"/>
              </w:rPr>
            </w:pPr>
            <w:r>
              <w:rPr>
                <w:rFonts w:ascii="Arial" w:hAnsi="Arial" w:cs="Arial"/>
                <w:sz w:val="24"/>
                <w:szCs w:val="24"/>
              </w:rPr>
              <w:t>A</w:t>
            </w:r>
            <w:r w:rsidRPr="005C7C36">
              <w:rPr>
                <w:rFonts w:ascii="Arial" w:hAnsi="Arial" w:cs="Arial"/>
                <w:sz w:val="24"/>
                <w:szCs w:val="24"/>
              </w:rPr>
              <w:t xml:space="preserve">2 </w:t>
            </w:r>
            <w:r w:rsidR="0081618F">
              <w:rPr>
                <w:rFonts w:ascii="Arial" w:hAnsi="Arial" w:cs="Arial"/>
                <w:sz w:val="24"/>
                <w:szCs w:val="24"/>
              </w:rPr>
              <w:t>(</w:t>
            </w:r>
            <w:bookmarkStart w:id="0" w:name="_GoBack"/>
            <w:bookmarkEnd w:id="0"/>
            <w:r w:rsidRPr="005C7C36">
              <w:rPr>
                <w:rFonts w:ascii="Arial" w:hAnsi="Arial" w:cs="Arial"/>
                <w:sz w:val="24"/>
                <w:szCs w:val="24"/>
              </w:rPr>
              <w:t>d)</w:t>
            </w:r>
          </w:p>
        </w:tc>
        <w:tc>
          <w:tcPr>
            <w:tcW w:w="12611" w:type="dxa"/>
          </w:tcPr>
          <w:p w:rsidR="00A327C3" w:rsidRPr="005C7C36">
            <w:pPr>
              <w:rPr>
                <w:rFonts w:ascii="Arial" w:hAnsi="Arial" w:cs="Arial"/>
                <w:sz w:val="24"/>
                <w:szCs w:val="24"/>
              </w:rPr>
            </w:pPr>
            <w:r>
              <w:rPr>
                <w:rFonts w:ascii="Arial" w:hAnsi="Arial" w:cs="Arial"/>
                <w:sz w:val="24"/>
                <w:szCs w:val="24"/>
              </w:rPr>
              <w:t>"</w:t>
            </w:r>
            <w:r w:rsidRPr="002C479D" w:rsidR="002C479D">
              <w:rPr>
                <w:rFonts w:ascii="Arial" w:hAnsi="Arial" w:cs="Arial"/>
                <w:sz w:val="24"/>
                <w:szCs w:val="24"/>
              </w:rPr>
              <w:t>All councillors shall:</w:t>
            </w:r>
            <w:r w:rsidR="002C479D">
              <w:t xml:space="preserve"> </w:t>
            </w:r>
            <w:r w:rsidRPr="002C479D" w:rsidR="002C479D">
              <w:rPr>
                <w:rFonts w:ascii="Arial" w:hAnsi="Arial" w:cs="Arial"/>
                <w:sz w:val="24"/>
                <w:szCs w:val="24"/>
              </w:rPr>
              <w:t>exercise a reasonable degree of self-control in their conduct and behaviour at meetings and shall not make a personal attack on any other Councillor or Officer.</w:t>
            </w:r>
            <w:r>
              <w:rPr>
                <w:rFonts w:ascii="Arial" w:hAnsi="Arial" w:cs="Arial"/>
                <w:sz w:val="24"/>
                <w:szCs w:val="24"/>
              </w:rPr>
              <w:t>"</w:t>
            </w:r>
            <w:r w:rsidR="002C479D">
              <w:rPr>
                <w:rFonts w:ascii="Arial" w:hAnsi="Arial" w:cs="Arial"/>
                <w:sz w:val="24"/>
                <w:szCs w:val="24"/>
              </w:rPr>
              <w:t xml:space="preserve"> Delete </w:t>
            </w:r>
            <w:r w:rsidRPr="002C479D" w:rsidR="002C479D">
              <w:rPr>
                <w:rFonts w:ascii="Arial" w:hAnsi="Arial" w:cs="Arial"/>
                <w:b/>
                <w:sz w:val="24"/>
                <w:szCs w:val="24"/>
              </w:rPr>
              <w:t>"a reasonable degree of"</w:t>
            </w:r>
          </w:p>
        </w:tc>
      </w:tr>
      <w:tr w:rsidTr="00D1652E">
        <w:tblPrEx>
          <w:tblW w:w="0" w:type="auto"/>
          <w:tblLook w:val="04A0"/>
        </w:tblPrEx>
        <w:tc>
          <w:tcPr>
            <w:tcW w:w="1134" w:type="dxa"/>
          </w:tcPr>
          <w:p w:rsidR="00A327C3">
            <w:pPr>
              <w:rPr>
                <w:rFonts w:ascii="Arial" w:hAnsi="Arial" w:cs="Arial"/>
                <w:sz w:val="24"/>
                <w:szCs w:val="24"/>
              </w:rPr>
            </w:pPr>
            <w:r>
              <w:rPr>
                <w:rFonts w:ascii="Arial" w:hAnsi="Arial" w:cs="Arial"/>
                <w:sz w:val="24"/>
                <w:szCs w:val="24"/>
              </w:rPr>
              <w:t>B</w:t>
            </w:r>
            <w:r>
              <w:rPr>
                <w:rFonts w:ascii="Arial" w:hAnsi="Arial" w:cs="Arial"/>
                <w:sz w:val="24"/>
                <w:szCs w:val="24"/>
              </w:rPr>
              <w:t>44 (1)</w:t>
            </w:r>
          </w:p>
        </w:tc>
        <w:tc>
          <w:tcPr>
            <w:tcW w:w="12611" w:type="dxa"/>
          </w:tcPr>
          <w:p w:rsidR="0081618F" w:rsidRPr="0081618F" w:rsidP="0081618F">
            <w:pPr>
              <w:rPr>
                <w:rFonts w:ascii="Arial" w:hAnsi="Arial" w:cs="Arial"/>
                <w:sz w:val="24"/>
                <w:szCs w:val="24"/>
              </w:rPr>
            </w:pPr>
            <w:r>
              <w:rPr>
                <w:rFonts w:ascii="Arial" w:hAnsi="Arial" w:cs="Arial"/>
                <w:sz w:val="24"/>
                <w:szCs w:val="24"/>
              </w:rPr>
              <w:t>Add the word "procedural" to clearly distinguish this type of motion.</w:t>
            </w:r>
          </w:p>
          <w:p w:rsidR="0081618F" w:rsidP="0081618F">
            <w:pPr>
              <w:pStyle w:val="ListParagraph"/>
              <w:rPr>
                <w:rFonts w:ascii="Arial" w:hAnsi="Arial" w:cs="Arial"/>
                <w:sz w:val="24"/>
                <w:szCs w:val="24"/>
              </w:rPr>
            </w:pPr>
          </w:p>
          <w:p w:rsidR="002C479D" w:rsidRPr="002C479D" w:rsidP="002C479D">
            <w:pPr>
              <w:pStyle w:val="ListParagraph"/>
              <w:numPr>
                <w:ilvl w:val="0"/>
                <w:numId w:val="2"/>
              </w:numPr>
              <w:rPr>
                <w:rFonts w:ascii="Arial" w:hAnsi="Arial" w:cs="Arial"/>
                <w:sz w:val="24"/>
                <w:szCs w:val="24"/>
              </w:rPr>
            </w:pPr>
            <w:r>
              <w:rPr>
                <w:rFonts w:ascii="Arial" w:hAnsi="Arial" w:cs="Arial"/>
                <w:sz w:val="24"/>
                <w:szCs w:val="24"/>
              </w:rPr>
              <w:t>"</w:t>
            </w:r>
            <w:r w:rsidRPr="002C479D">
              <w:rPr>
                <w:rFonts w:ascii="Arial" w:hAnsi="Arial" w:cs="Arial"/>
                <w:sz w:val="24"/>
                <w:szCs w:val="24"/>
              </w:rPr>
              <w:t xml:space="preserve">A Councillor may move without comment the following </w:t>
            </w:r>
            <w:r w:rsidRPr="002C479D">
              <w:rPr>
                <w:rFonts w:ascii="Arial" w:hAnsi="Arial" w:cs="Arial"/>
                <w:b/>
                <w:sz w:val="24"/>
                <w:szCs w:val="24"/>
              </w:rPr>
              <w:t xml:space="preserve">procedural </w:t>
            </w:r>
            <w:r w:rsidRPr="002C479D">
              <w:rPr>
                <w:rFonts w:ascii="Arial" w:hAnsi="Arial" w:cs="Arial"/>
                <w:sz w:val="24"/>
                <w:szCs w:val="24"/>
              </w:rPr>
              <w:t>motions at the end of a speech of another Councillor:</w:t>
            </w:r>
          </w:p>
          <w:p w:rsidR="00A327C3" w:rsidRPr="002C479D" w:rsidP="002C479D">
            <w:pPr>
              <w:pStyle w:val="ListParagraph"/>
              <w:numPr>
                <w:ilvl w:val="0"/>
                <w:numId w:val="2"/>
              </w:numPr>
              <w:rPr>
                <w:rFonts w:ascii="Arial" w:hAnsi="Arial" w:cs="Arial"/>
                <w:sz w:val="24"/>
                <w:szCs w:val="24"/>
              </w:rPr>
            </w:pPr>
            <w:r w:rsidRPr="002C479D">
              <w:rPr>
                <w:rFonts w:ascii="Arial" w:hAnsi="Arial" w:cs="Arial"/>
                <w:sz w:val="24"/>
                <w:szCs w:val="24"/>
              </w:rPr>
              <w:t>Swap (2) and (3) so they read in order with the points above.</w:t>
            </w:r>
            <w:r w:rsidR="0081618F">
              <w:rPr>
                <w:rFonts w:ascii="Arial" w:hAnsi="Arial" w:cs="Arial"/>
                <w:sz w:val="24"/>
                <w:szCs w:val="24"/>
              </w:rPr>
              <w:t>"</w:t>
            </w:r>
          </w:p>
        </w:tc>
      </w:tr>
      <w:tr w:rsidTr="00D1652E">
        <w:tblPrEx>
          <w:tblW w:w="0" w:type="auto"/>
          <w:tblLook w:val="04A0"/>
        </w:tblPrEx>
        <w:tc>
          <w:tcPr>
            <w:tcW w:w="1134" w:type="dxa"/>
          </w:tcPr>
          <w:p w:rsidR="00A327C3">
            <w:pPr>
              <w:rPr>
                <w:rFonts w:ascii="Arial" w:hAnsi="Arial" w:cs="Arial"/>
                <w:sz w:val="24"/>
                <w:szCs w:val="24"/>
              </w:rPr>
            </w:pPr>
            <w:r>
              <w:rPr>
                <w:rFonts w:ascii="Arial" w:hAnsi="Arial" w:cs="Arial"/>
                <w:sz w:val="24"/>
                <w:szCs w:val="24"/>
              </w:rPr>
              <w:t xml:space="preserve">C </w:t>
            </w:r>
            <w:r>
              <w:rPr>
                <w:rFonts w:ascii="Arial" w:hAnsi="Arial" w:cs="Arial"/>
                <w:sz w:val="24"/>
                <w:szCs w:val="24"/>
              </w:rPr>
              <w:t>Title</w:t>
            </w:r>
          </w:p>
        </w:tc>
        <w:tc>
          <w:tcPr>
            <w:tcW w:w="12611" w:type="dxa"/>
          </w:tcPr>
          <w:p w:rsidR="0081618F" w:rsidP="00FE30DC">
            <w:pPr>
              <w:rPr>
                <w:rFonts w:ascii="Arial" w:hAnsi="Arial" w:cs="Arial"/>
                <w:sz w:val="24"/>
                <w:szCs w:val="24"/>
              </w:rPr>
            </w:pPr>
            <w:r>
              <w:rPr>
                <w:rFonts w:ascii="Arial" w:hAnsi="Arial" w:cs="Arial"/>
                <w:sz w:val="24"/>
                <w:szCs w:val="24"/>
              </w:rPr>
              <w:t>Add reference to Cabinet committees, for clarity</w:t>
            </w:r>
          </w:p>
          <w:p w:rsidR="0081618F" w:rsidP="00FE30DC">
            <w:pPr>
              <w:rPr>
                <w:rFonts w:ascii="Arial" w:hAnsi="Arial" w:cs="Arial"/>
                <w:sz w:val="24"/>
                <w:szCs w:val="24"/>
              </w:rPr>
            </w:pPr>
          </w:p>
          <w:p w:rsidR="00A327C3" w:rsidRPr="00A327C3" w:rsidP="0081618F">
            <w:pPr>
              <w:rPr>
                <w:rFonts w:ascii="Arial" w:hAnsi="Arial" w:cs="Arial"/>
                <w:sz w:val="24"/>
                <w:szCs w:val="24"/>
              </w:rPr>
            </w:pPr>
            <w:r>
              <w:rPr>
                <w:rFonts w:ascii="Arial" w:hAnsi="Arial" w:cs="Arial"/>
                <w:sz w:val="24"/>
                <w:szCs w:val="24"/>
              </w:rPr>
              <w:t>"</w:t>
            </w:r>
            <w:r w:rsidRPr="00A327C3">
              <w:rPr>
                <w:rFonts w:ascii="Arial" w:hAnsi="Arial" w:cs="Arial"/>
                <w:sz w:val="24"/>
                <w:szCs w:val="24"/>
              </w:rPr>
              <w:t xml:space="preserve">Section C – Cabinet </w:t>
            </w:r>
            <w:r w:rsidRPr="002C479D">
              <w:rPr>
                <w:rFonts w:ascii="Arial" w:hAnsi="Arial" w:cs="Arial"/>
                <w:b/>
                <w:sz w:val="24"/>
                <w:szCs w:val="24"/>
              </w:rPr>
              <w:t>and Committees of the Cabinet</w:t>
            </w:r>
            <w:r w:rsidRPr="00A327C3">
              <w:rPr>
                <w:rFonts w:ascii="Arial" w:hAnsi="Arial" w:cs="Arial"/>
                <w:sz w:val="24"/>
                <w:szCs w:val="24"/>
              </w:rPr>
              <w:t xml:space="preserve"> - Procedural Standing Orders.</w:t>
            </w:r>
            <w:r>
              <w:rPr>
                <w:rFonts w:ascii="Arial" w:hAnsi="Arial" w:cs="Arial"/>
                <w:sz w:val="24"/>
                <w:szCs w:val="24"/>
              </w:rPr>
              <w:t>"</w:t>
            </w:r>
            <w:r w:rsidRPr="00A327C3">
              <w:rPr>
                <w:rFonts w:ascii="Arial" w:hAnsi="Arial" w:cs="Arial"/>
                <w:sz w:val="24"/>
                <w:szCs w:val="24"/>
              </w:rPr>
              <w:t xml:space="preserve">  </w:t>
            </w:r>
          </w:p>
        </w:tc>
      </w:tr>
      <w:tr w:rsidTr="00D1652E">
        <w:tblPrEx>
          <w:tblW w:w="0" w:type="auto"/>
          <w:tblLook w:val="04A0"/>
        </w:tblPrEx>
        <w:tc>
          <w:tcPr>
            <w:tcW w:w="1134" w:type="dxa"/>
          </w:tcPr>
          <w:p w:rsidR="00A327C3" w:rsidP="00716443">
            <w:pPr>
              <w:rPr>
                <w:rFonts w:ascii="Arial" w:hAnsi="Arial" w:cs="Arial"/>
                <w:sz w:val="24"/>
                <w:szCs w:val="24"/>
              </w:rPr>
            </w:pPr>
            <w:r>
              <w:rPr>
                <w:rFonts w:ascii="Arial" w:hAnsi="Arial" w:cs="Arial"/>
                <w:sz w:val="24"/>
                <w:szCs w:val="24"/>
              </w:rPr>
              <w:t>C</w:t>
            </w:r>
            <w:r>
              <w:rPr>
                <w:rFonts w:ascii="Arial" w:hAnsi="Arial" w:cs="Arial"/>
                <w:sz w:val="24"/>
                <w:szCs w:val="24"/>
              </w:rPr>
              <w:t>16</w:t>
            </w:r>
          </w:p>
        </w:tc>
        <w:tc>
          <w:tcPr>
            <w:tcW w:w="12611" w:type="dxa"/>
          </w:tcPr>
          <w:p w:rsidR="002C479D" w:rsidP="00716443">
            <w:pPr>
              <w:rPr>
                <w:rFonts w:ascii="Arial" w:hAnsi="Arial" w:cs="Arial"/>
                <w:sz w:val="24"/>
                <w:szCs w:val="24"/>
              </w:rPr>
            </w:pPr>
            <w:r>
              <w:rPr>
                <w:rFonts w:ascii="Arial" w:hAnsi="Arial" w:cs="Arial"/>
                <w:sz w:val="24"/>
                <w:szCs w:val="24"/>
              </w:rPr>
              <w:t>Rewrite this section for clarity on Urgent decisions.</w:t>
            </w:r>
          </w:p>
          <w:p w:rsidR="00A327C3" w:rsidP="00716443">
            <w:pPr>
              <w:rPr>
                <w:rFonts w:ascii="Arial" w:hAnsi="Arial" w:cs="Arial"/>
                <w:sz w:val="24"/>
                <w:szCs w:val="24"/>
              </w:rPr>
            </w:pPr>
            <w:r>
              <w:rPr>
                <w:rFonts w:ascii="Arial" w:hAnsi="Arial" w:cs="Arial"/>
                <w:sz w:val="24"/>
                <w:szCs w:val="24"/>
              </w:rPr>
              <w:t xml:space="preserve">Amend title of standing order to: </w:t>
            </w:r>
            <w:r w:rsidRPr="0068703E">
              <w:rPr>
                <w:rFonts w:ascii="Arial" w:hAnsi="Arial" w:cs="Arial"/>
                <w:sz w:val="24"/>
                <w:szCs w:val="24"/>
              </w:rPr>
              <w:t xml:space="preserve">Procedure for dealing with matters of Urgent Business </w:t>
            </w:r>
            <w:r w:rsidR="002C479D">
              <w:rPr>
                <w:rFonts w:ascii="Arial" w:hAnsi="Arial" w:cs="Arial"/>
                <w:sz w:val="24"/>
                <w:szCs w:val="24"/>
              </w:rPr>
              <w:t>(delete "</w:t>
            </w:r>
            <w:r w:rsidRPr="002C479D" w:rsidR="002C479D">
              <w:rPr>
                <w:rFonts w:ascii="Arial" w:hAnsi="Arial" w:cs="Arial"/>
                <w:b/>
                <w:sz w:val="24"/>
                <w:szCs w:val="24"/>
              </w:rPr>
              <w:t xml:space="preserve">following an election", </w:t>
            </w:r>
            <w:r w:rsidR="002C479D">
              <w:rPr>
                <w:rFonts w:ascii="Arial" w:hAnsi="Arial" w:cs="Arial"/>
                <w:sz w:val="24"/>
                <w:szCs w:val="24"/>
              </w:rPr>
              <w:t>replace with</w:t>
            </w:r>
            <w:r w:rsidRPr="002C479D">
              <w:rPr>
                <w:rFonts w:ascii="Arial" w:hAnsi="Arial" w:cs="Arial"/>
                <w:sz w:val="24"/>
                <w:szCs w:val="24"/>
              </w:rPr>
              <w:t xml:space="preserve"> </w:t>
            </w:r>
            <w:r w:rsidRPr="002C479D" w:rsidR="002C479D">
              <w:rPr>
                <w:rFonts w:ascii="Arial" w:hAnsi="Arial" w:cs="Arial"/>
                <w:b/>
                <w:sz w:val="24"/>
                <w:szCs w:val="24"/>
              </w:rPr>
              <w:t>"</w:t>
            </w:r>
            <w:r w:rsidRPr="002C479D">
              <w:rPr>
                <w:rFonts w:ascii="Arial" w:hAnsi="Arial" w:cs="Arial"/>
                <w:b/>
                <w:sz w:val="24"/>
                <w:szCs w:val="24"/>
              </w:rPr>
              <w:t>which cannot</w:t>
            </w:r>
            <w:r w:rsidRPr="002C479D" w:rsidR="002C479D">
              <w:rPr>
                <w:rFonts w:ascii="Arial" w:hAnsi="Arial" w:cs="Arial"/>
                <w:b/>
                <w:sz w:val="24"/>
                <w:szCs w:val="24"/>
              </w:rPr>
              <w:t xml:space="preserve"> await a meeting of the Cabinet</w:t>
            </w:r>
            <w:r w:rsidR="002C479D">
              <w:rPr>
                <w:rFonts w:ascii="Arial" w:hAnsi="Arial" w:cs="Arial"/>
                <w:sz w:val="24"/>
                <w:szCs w:val="24"/>
              </w:rPr>
              <w:t>"</w:t>
            </w:r>
            <w:r w:rsidRPr="002C479D">
              <w:rPr>
                <w:rFonts w:ascii="Arial" w:hAnsi="Arial" w:cs="Arial"/>
                <w:sz w:val="24"/>
                <w:szCs w:val="24"/>
              </w:rPr>
              <w:t>.</w:t>
            </w:r>
            <w:r w:rsidR="002C479D">
              <w:rPr>
                <w:rFonts w:ascii="Arial" w:hAnsi="Arial" w:cs="Arial"/>
                <w:sz w:val="24"/>
                <w:szCs w:val="24"/>
              </w:rPr>
              <w:t>)</w:t>
            </w:r>
            <w:r w:rsidR="00D1652E">
              <w:rPr>
                <w:rFonts w:ascii="Arial" w:hAnsi="Arial" w:cs="Arial"/>
                <w:sz w:val="24"/>
                <w:szCs w:val="24"/>
              </w:rPr>
              <w:t xml:space="preserve"> Insert a new 16(1) and renumber existing SOs, to read as follows:</w:t>
            </w:r>
          </w:p>
          <w:p w:rsidR="00D1652E" w:rsidP="00716443">
            <w:pPr>
              <w:rPr>
                <w:rFonts w:ascii="Arial" w:hAnsi="Arial" w:cs="Arial"/>
                <w:color w:val="FF0000"/>
                <w:sz w:val="24"/>
                <w:szCs w:val="24"/>
              </w:rPr>
            </w:pPr>
          </w:p>
          <w:p w:rsidR="00D1652E" w:rsidP="00D1652E">
            <w:pPr>
              <w:ind w:left="720" w:hanging="720"/>
              <w:rPr>
                <w:rFonts w:ascii="Arial" w:hAnsi="Arial" w:cs="Arial"/>
                <w:sz w:val="24"/>
                <w:szCs w:val="24"/>
              </w:rPr>
            </w:pPr>
            <w:r>
              <w:rPr>
                <w:rFonts w:ascii="Arial" w:hAnsi="Arial" w:cs="Arial"/>
                <w:sz w:val="24"/>
                <w:szCs w:val="24"/>
              </w:rPr>
              <w:t>1</w:t>
            </w:r>
            <w:r w:rsidRPr="00824344">
              <w:rPr>
                <w:rFonts w:ascii="Arial" w:hAnsi="Arial" w:cs="Arial"/>
                <w:sz w:val="24"/>
                <w:szCs w:val="24"/>
              </w:rPr>
              <w:t>6.</w:t>
            </w:r>
            <w:r>
              <w:rPr>
                <w:rFonts w:ascii="Arial" w:hAnsi="Arial" w:cs="Arial"/>
                <w:sz w:val="24"/>
                <w:szCs w:val="24"/>
              </w:rPr>
              <w:tab/>
            </w:r>
            <w:r w:rsidRPr="00D1652E">
              <w:rPr>
                <w:rFonts w:ascii="Arial" w:hAnsi="Arial" w:cs="Arial"/>
                <w:b/>
                <w:sz w:val="24"/>
                <w:szCs w:val="24"/>
              </w:rPr>
              <w:t>(1) The Leader (or in his/her absence the Deputy Leader) and the relevant Cabinet member may deal with matters of urgency which cannot await a meeting of the Cabinet.</w:t>
            </w:r>
          </w:p>
          <w:p w:rsidR="00D1652E" w:rsidP="00D1652E">
            <w:pPr>
              <w:ind w:left="720" w:hanging="720"/>
              <w:rPr>
                <w:rFonts w:ascii="Arial" w:hAnsi="Arial" w:cs="Arial"/>
                <w:sz w:val="24"/>
                <w:szCs w:val="24"/>
              </w:rPr>
            </w:pPr>
          </w:p>
          <w:p w:rsidR="00D1652E" w:rsidP="00D1652E">
            <w:pPr>
              <w:ind w:left="720"/>
              <w:rPr>
                <w:rFonts w:ascii="Arial" w:hAnsi="Arial" w:cs="Arial"/>
                <w:sz w:val="24"/>
                <w:szCs w:val="24"/>
              </w:rPr>
            </w:pPr>
            <w:r w:rsidRPr="00824344">
              <w:rPr>
                <w:rFonts w:ascii="Arial" w:hAnsi="Arial" w:cs="Arial"/>
                <w:sz w:val="24"/>
                <w:szCs w:val="24"/>
              </w:rPr>
              <w:t>(2) Th</w:t>
            </w:r>
            <w:r>
              <w:rPr>
                <w:rFonts w:ascii="Arial" w:hAnsi="Arial" w:cs="Arial"/>
                <w:sz w:val="24"/>
                <w:szCs w:val="24"/>
              </w:rPr>
              <w:t>e provisions at Standing Order 1</w:t>
            </w:r>
            <w:r w:rsidRPr="00824344">
              <w:rPr>
                <w:rFonts w:ascii="Arial" w:hAnsi="Arial" w:cs="Arial"/>
                <w:sz w:val="24"/>
                <w:szCs w:val="24"/>
              </w:rPr>
              <w:t xml:space="preserve">6(1) above shall be suspended in the period beginning with the fourth day after the County Council Elections and ending on the date of the first Annual Meeting of the new Council.  During that period, the Chief Executive may deal with matters of urgency which cannot await a meeting of </w:t>
            </w:r>
            <w:r>
              <w:rPr>
                <w:rFonts w:ascii="Arial" w:hAnsi="Arial" w:cs="Arial"/>
                <w:sz w:val="24"/>
                <w:szCs w:val="24"/>
              </w:rPr>
              <w:t xml:space="preserve">the Cabinet </w:t>
            </w:r>
            <w:r w:rsidRPr="00824344">
              <w:rPr>
                <w:rFonts w:ascii="Arial" w:hAnsi="Arial" w:cs="Arial"/>
                <w:sz w:val="24"/>
                <w:szCs w:val="24"/>
              </w:rPr>
              <w:t xml:space="preserve">where delay would significantly and materially prejudice the interests of the County Council or the inhabitants of the County. </w:t>
            </w:r>
          </w:p>
          <w:p w:rsidR="00D1652E" w:rsidP="00D1652E">
            <w:pPr>
              <w:ind w:left="720"/>
              <w:rPr>
                <w:rFonts w:ascii="Arial" w:hAnsi="Arial" w:cs="Arial"/>
                <w:sz w:val="24"/>
                <w:szCs w:val="24"/>
              </w:rPr>
            </w:pPr>
          </w:p>
          <w:p w:rsidR="00D1652E" w:rsidP="00D1652E">
            <w:pPr>
              <w:ind w:left="720"/>
              <w:rPr>
                <w:rFonts w:ascii="Arial" w:hAnsi="Arial" w:cs="Arial"/>
                <w:sz w:val="24"/>
                <w:szCs w:val="24"/>
              </w:rPr>
            </w:pPr>
            <w:r w:rsidRPr="00824344">
              <w:rPr>
                <w:rFonts w:ascii="Arial" w:hAnsi="Arial" w:cs="Arial"/>
                <w:sz w:val="24"/>
                <w:szCs w:val="24"/>
              </w:rPr>
              <w:t xml:space="preserve">(3) The Chief Executive shall only exercise the powers at Standing Order </w:t>
            </w:r>
            <w:r>
              <w:rPr>
                <w:rFonts w:ascii="Arial" w:hAnsi="Arial" w:cs="Arial"/>
                <w:sz w:val="24"/>
                <w:szCs w:val="24"/>
              </w:rPr>
              <w:t>1</w:t>
            </w:r>
            <w:r w:rsidRPr="00824344">
              <w:rPr>
                <w:rFonts w:ascii="Arial" w:hAnsi="Arial" w:cs="Arial"/>
                <w:sz w:val="24"/>
                <w:szCs w:val="24"/>
              </w:rPr>
              <w:t>6(2) above following consultation with the Leader (or in his/her absence, the Deputy Leader) of any political group with an overall majority, or if there is no majority political group, the Leader (or in his/her absence the Deputy Leader) of all political groups on the Council.  In the event there is no Leader or Deputy Leader of any political group during that period, the Chief Executive shall consult with a representative or representatives of that group as he/she considers appropriate.</w:t>
            </w:r>
          </w:p>
          <w:p w:rsidR="00D1652E" w:rsidP="00D1652E">
            <w:pPr>
              <w:ind w:left="720"/>
              <w:rPr>
                <w:rFonts w:ascii="Arial" w:hAnsi="Arial" w:cs="Arial"/>
                <w:sz w:val="24"/>
                <w:szCs w:val="24"/>
              </w:rPr>
            </w:pPr>
          </w:p>
          <w:p w:rsidR="00D1652E" w:rsidRPr="00824344" w:rsidP="00D1652E">
            <w:pPr>
              <w:ind w:left="720"/>
              <w:rPr>
                <w:rFonts w:ascii="Arial" w:hAnsi="Arial" w:cs="Arial"/>
                <w:sz w:val="24"/>
                <w:szCs w:val="24"/>
              </w:rPr>
            </w:pPr>
            <w:r>
              <w:rPr>
                <w:rFonts w:ascii="Arial" w:hAnsi="Arial" w:cs="Arial"/>
                <w:sz w:val="24"/>
                <w:szCs w:val="24"/>
              </w:rPr>
              <w:t>(4) The implementation of a decision made under Standing Order 16(1) or 16(2) above is subject to Standing Order 28(1), 28 (3) and 29.</w:t>
            </w:r>
          </w:p>
          <w:p w:rsidR="00A327C3" w:rsidRPr="005C7C36" w:rsidP="00716443">
            <w:pPr>
              <w:rPr>
                <w:rFonts w:ascii="Arial" w:hAnsi="Arial" w:cs="Arial"/>
                <w:sz w:val="24"/>
                <w:szCs w:val="24"/>
              </w:rPr>
            </w:pPr>
          </w:p>
        </w:tc>
      </w:tr>
      <w:tr w:rsidTr="00D1652E">
        <w:tblPrEx>
          <w:tblW w:w="0" w:type="auto"/>
          <w:tblLook w:val="04A0"/>
        </w:tblPrEx>
        <w:tc>
          <w:tcPr>
            <w:tcW w:w="1134" w:type="dxa"/>
          </w:tcPr>
          <w:p w:rsidR="00A327C3" w:rsidRPr="005C7C36" w:rsidP="00716443">
            <w:pPr>
              <w:rPr>
                <w:rFonts w:ascii="Arial" w:hAnsi="Arial" w:cs="Arial"/>
                <w:sz w:val="24"/>
                <w:szCs w:val="24"/>
              </w:rPr>
            </w:pPr>
            <w:r>
              <w:rPr>
                <w:rFonts w:ascii="Arial" w:hAnsi="Arial" w:cs="Arial"/>
                <w:sz w:val="24"/>
                <w:szCs w:val="24"/>
              </w:rPr>
              <w:t>C</w:t>
            </w:r>
            <w:r>
              <w:rPr>
                <w:rFonts w:ascii="Arial" w:hAnsi="Arial" w:cs="Arial"/>
                <w:sz w:val="24"/>
                <w:szCs w:val="24"/>
              </w:rPr>
              <w:t>32</w:t>
            </w:r>
          </w:p>
        </w:tc>
        <w:tc>
          <w:tcPr>
            <w:tcW w:w="12611" w:type="dxa"/>
          </w:tcPr>
          <w:p w:rsidR="0081618F" w:rsidP="00716443">
            <w:pPr>
              <w:rPr>
                <w:rFonts w:ascii="Arial" w:hAnsi="Arial" w:cs="Arial"/>
                <w:sz w:val="24"/>
                <w:szCs w:val="24"/>
              </w:rPr>
            </w:pPr>
            <w:r>
              <w:rPr>
                <w:rFonts w:ascii="Arial" w:hAnsi="Arial" w:cs="Arial"/>
                <w:sz w:val="24"/>
                <w:szCs w:val="24"/>
              </w:rPr>
              <w:t>Add reference to Leader and Deputy Leader of opposition:</w:t>
            </w:r>
          </w:p>
          <w:p w:rsidR="00A327C3" w:rsidRPr="005C7C36" w:rsidP="00716443">
            <w:pPr>
              <w:rPr>
                <w:rFonts w:ascii="Arial" w:hAnsi="Arial" w:cs="Arial"/>
                <w:sz w:val="24"/>
                <w:szCs w:val="24"/>
              </w:rPr>
            </w:pPr>
            <w:r>
              <w:rPr>
                <w:rFonts w:ascii="Arial" w:hAnsi="Arial" w:cs="Arial"/>
                <w:sz w:val="24"/>
                <w:szCs w:val="24"/>
              </w:rPr>
              <w:t>"</w:t>
            </w:r>
            <w:r w:rsidRPr="00B6788C">
              <w:rPr>
                <w:rFonts w:ascii="Arial" w:hAnsi="Arial" w:cs="Arial"/>
                <w:sz w:val="24"/>
                <w:szCs w:val="24"/>
              </w:rPr>
              <w:t xml:space="preserve">Members of the </w:t>
            </w:r>
            <w:r w:rsidRPr="00A327C3">
              <w:rPr>
                <w:rFonts w:ascii="Arial" w:hAnsi="Arial" w:cs="Arial"/>
                <w:sz w:val="24"/>
                <w:szCs w:val="24"/>
              </w:rPr>
              <w:t xml:space="preserve">Cabinet </w:t>
            </w:r>
            <w:r w:rsidRPr="002C479D">
              <w:rPr>
                <w:rFonts w:ascii="Arial" w:hAnsi="Arial" w:cs="Arial"/>
                <w:b/>
                <w:sz w:val="24"/>
                <w:szCs w:val="24"/>
              </w:rPr>
              <w:t>and the</w:t>
            </w:r>
            <w:r w:rsidRPr="002C479D">
              <w:rPr>
                <w:b/>
              </w:rPr>
              <w:t xml:space="preserve"> </w:t>
            </w:r>
            <w:r w:rsidRPr="002C479D">
              <w:rPr>
                <w:rFonts w:ascii="Arial" w:hAnsi="Arial" w:cs="Arial"/>
                <w:b/>
                <w:sz w:val="24"/>
                <w:szCs w:val="24"/>
              </w:rPr>
              <w:t>opposition Leader and Deputy Leader</w:t>
            </w:r>
            <w:r w:rsidRPr="00A327C3">
              <w:rPr>
                <w:rFonts w:ascii="Arial" w:hAnsi="Arial" w:cs="Arial"/>
                <w:sz w:val="24"/>
                <w:szCs w:val="24"/>
              </w:rPr>
              <w:t xml:space="preserve"> may, at the discretion of the Chair, speak as often and for as long as the Chair allows.</w:t>
            </w:r>
            <w:r>
              <w:rPr>
                <w:rFonts w:ascii="Arial" w:hAnsi="Arial" w:cs="Arial"/>
                <w:sz w:val="24"/>
                <w:szCs w:val="24"/>
              </w:rPr>
              <w:t>"</w:t>
            </w:r>
            <w:r w:rsidRPr="00A327C3">
              <w:rPr>
                <w:rFonts w:ascii="Arial" w:hAnsi="Arial" w:cs="Arial"/>
                <w:sz w:val="24"/>
                <w:szCs w:val="24"/>
              </w:rPr>
              <w:t xml:space="preserve">  </w:t>
            </w:r>
          </w:p>
        </w:tc>
      </w:tr>
    </w:tbl>
    <w:p w:rsidR="005C7C36" w:rsidP="008A3324"/>
    <w:sectPr w:rsidSect="005C7C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8065F0"/>
    <w:multiLevelType w:val="hybridMultilevel"/>
    <w:tmpl w:val="C9F2EF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43D269A"/>
    <w:multiLevelType w:val="hybridMultilevel"/>
    <w:tmpl w:val="17DEFBD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Mynott, Josh</cp:lastModifiedBy>
  <cp:revision>2</cp:revision>
  <dcterms:created xsi:type="dcterms:W3CDTF">2019-05-13T12:38:00Z</dcterms:created>
  <dcterms:modified xsi:type="dcterms:W3CDTF">2019-05-13T12:38:00Z</dcterms:modified>
</cp:coreProperties>
</file>